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FF6E" w14:textId="77777777" w:rsidR="00842455" w:rsidRDefault="00842455" w:rsidP="00842455">
      <w:pPr>
        <w:jc w:val="center"/>
        <w:rPr>
          <w:rFonts w:cstheme="minorHAnsi"/>
          <w:b/>
          <w:bCs/>
        </w:rPr>
      </w:pPr>
      <w:r>
        <w:rPr>
          <w:rFonts w:cstheme="minorHAnsi"/>
          <w:b/>
          <w:bCs/>
        </w:rPr>
        <w:t>AS TREV-2 GRUPP AKTSIONÄRIDE KORRALISE ÜLDKOOSOLEKU OTSUSED</w:t>
      </w:r>
    </w:p>
    <w:p w14:paraId="0843CB3F" w14:textId="7C01EAC0" w:rsidR="00842455" w:rsidRDefault="00842455" w:rsidP="00842455">
      <w:pPr>
        <w:jc w:val="right"/>
        <w:rPr>
          <w:rFonts w:cstheme="minorHAnsi"/>
        </w:rPr>
      </w:pPr>
      <w:r>
        <w:rPr>
          <w:rFonts w:cstheme="minorHAnsi"/>
        </w:rPr>
        <w:t>1</w:t>
      </w:r>
      <w:r>
        <w:rPr>
          <w:rFonts w:cstheme="minorHAnsi"/>
        </w:rPr>
        <w:t>. juu</w:t>
      </w:r>
      <w:r>
        <w:rPr>
          <w:rFonts w:cstheme="minorHAnsi"/>
        </w:rPr>
        <w:t>l</w:t>
      </w:r>
      <w:r>
        <w:rPr>
          <w:rFonts w:cstheme="minorHAnsi"/>
        </w:rPr>
        <w:t>i 202</w:t>
      </w:r>
      <w:r>
        <w:rPr>
          <w:rFonts w:cstheme="minorHAnsi"/>
        </w:rPr>
        <w:t>4</w:t>
      </w:r>
      <w:r>
        <w:rPr>
          <w:rFonts w:cstheme="minorHAnsi"/>
        </w:rPr>
        <w:t>. a.</w:t>
      </w:r>
    </w:p>
    <w:p w14:paraId="2BD8F0C7" w14:textId="77777777" w:rsidR="00842455" w:rsidRDefault="00842455" w:rsidP="00842455">
      <w:pPr>
        <w:jc w:val="both"/>
        <w:rPr>
          <w:rFonts w:cstheme="minorHAnsi"/>
        </w:rPr>
      </w:pPr>
      <w:r>
        <w:rPr>
          <w:rFonts w:cstheme="minorHAnsi"/>
        </w:rPr>
        <w:t>AS TREV-2 Grupp (registrikood 10047362, aadress Teemeistri tn 2, Tallinn 10916) („Aktsiaselts“)</w:t>
      </w:r>
      <w:r>
        <w:rPr>
          <w:rFonts w:cstheme="minorHAnsi"/>
        </w:rPr>
        <w:br/>
        <w:t>võttis käesoleval aastal aktsionäride korralise üldkoosoleku otsused vastu koosolekut kokku kutsumata</w:t>
      </w:r>
      <w:r>
        <w:rPr>
          <w:rFonts w:cstheme="minorHAnsi"/>
        </w:rPr>
        <w:br/>
        <w:t>kooskõlas äriseadustiku §-ga 299</w:t>
      </w:r>
      <w:r>
        <w:rPr>
          <w:rFonts w:cstheme="minorHAnsi"/>
          <w:vertAlign w:val="superscript"/>
        </w:rPr>
        <w:t>1</w:t>
      </w:r>
      <w:r>
        <w:rPr>
          <w:rFonts w:cstheme="minorHAnsi"/>
        </w:rPr>
        <w:t>.</w:t>
      </w:r>
    </w:p>
    <w:p w14:paraId="3C99C14F" w14:textId="5F2C0A1D" w:rsidR="00842455" w:rsidRDefault="00842455" w:rsidP="00842455">
      <w:pPr>
        <w:jc w:val="both"/>
        <w:rPr>
          <w:rFonts w:cstheme="minorHAnsi"/>
        </w:rPr>
      </w:pPr>
      <w:r>
        <w:rPr>
          <w:rFonts w:cstheme="minorHAnsi"/>
        </w:rPr>
        <w:t>Aktsiaseltsi juhatus palus hääletamiseks õigustatud aktsionäridel esitada oma seisukohad</w:t>
      </w:r>
      <w:r>
        <w:rPr>
          <w:rFonts w:cstheme="minorHAnsi"/>
        </w:rPr>
        <w:br/>
        <w:t xml:space="preserve">hääletussedelil, mis olid leitavad Aktsiaseltsi koduleheküljel </w:t>
      </w:r>
      <w:hyperlink r:id="rId12" w:history="1">
        <w:r>
          <w:rPr>
            <w:rStyle w:val="Hyperlink"/>
            <w:rFonts w:cstheme="minorHAnsi"/>
          </w:rPr>
          <w:t>https://www.trev2.ee/</w:t>
        </w:r>
      </w:hyperlink>
      <w:r>
        <w:rPr>
          <w:rFonts w:cstheme="minorHAnsi"/>
        </w:rPr>
        <w:t>, kirjalikult või</w:t>
      </w:r>
      <w:r>
        <w:rPr>
          <w:rFonts w:cstheme="minorHAnsi"/>
        </w:rPr>
        <w:br/>
        <w:t>kirjalikku taasesitamist võimaldavas vormis hiljemalt 2</w:t>
      </w:r>
      <w:r w:rsidR="007543AF">
        <w:rPr>
          <w:rFonts w:cstheme="minorHAnsi"/>
        </w:rPr>
        <w:t>5</w:t>
      </w:r>
      <w:r>
        <w:rPr>
          <w:rFonts w:cstheme="minorHAnsi"/>
        </w:rPr>
        <w:t>.06.202</w:t>
      </w:r>
      <w:r w:rsidR="007543AF">
        <w:rPr>
          <w:rFonts w:cstheme="minorHAnsi"/>
        </w:rPr>
        <w:t>4</w:t>
      </w:r>
      <w:r>
        <w:rPr>
          <w:rFonts w:cstheme="minorHAnsi"/>
        </w:rPr>
        <w:t xml:space="preserve"> kell 10.00 Eesti aja järgi. Kui</w:t>
      </w:r>
      <w:r>
        <w:rPr>
          <w:rFonts w:cstheme="minorHAnsi"/>
        </w:rPr>
        <w:br/>
        <w:t>aktsionär ei teatanud nimetatud tähtaja jooksul, kas ta on otsuse poolt või vastu, loetakse, et ta hääletas otsuse vastu (äriseadustik § 299</w:t>
      </w:r>
      <w:r>
        <w:rPr>
          <w:rFonts w:cstheme="minorHAnsi"/>
          <w:vertAlign w:val="superscript"/>
        </w:rPr>
        <w:t>1</w:t>
      </w:r>
      <w:r>
        <w:rPr>
          <w:rFonts w:cstheme="minorHAnsi"/>
        </w:rPr>
        <w:t xml:space="preserve"> lg 2).</w:t>
      </w:r>
    </w:p>
    <w:p w14:paraId="7199C452" w14:textId="37FB44DC" w:rsidR="00842455" w:rsidRDefault="00842455" w:rsidP="00842455">
      <w:pPr>
        <w:jc w:val="both"/>
        <w:rPr>
          <w:rFonts w:cstheme="minorHAnsi"/>
        </w:rPr>
      </w:pPr>
      <w:r>
        <w:rPr>
          <w:rFonts w:cstheme="minorHAnsi"/>
        </w:rPr>
        <w:t xml:space="preserve">Hääletamisel osales </w:t>
      </w:r>
      <w:r w:rsidR="007543AF">
        <w:rPr>
          <w:rFonts w:cstheme="minorHAnsi"/>
        </w:rPr>
        <w:t>kolm</w:t>
      </w:r>
      <w:r>
        <w:rPr>
          <w:rFonts w:cstheme="minorHAnsi"/>
        </w:rPr>
        <w:t xml:space="preserve"> (3) aktsionäri, kellele kuuluvate aktsiatega oli esindatud kokku kolmkümmend kaks miljonit ükssada kuusteist tuhat kaheksasada üks (32 116 801)</w:t>
      </w:r>
      <w:r>
        <w:rPr>
          <w:rFonts w:cstheme="minorHAnsi"/>
        </w:rPr>
        <w:br/>
        <w:t>häält, mis moodustab kokku ligikaudu kaheksakümmend kuus koma üheksasada nelikümmend üheksa protsenti (86,949%) aktsiatega määratud häältest.</w:t>
      </w:r>
    </w:p>
    <w:p w14:paraId="330D68B6" w14:textId="77777777" w:rsidR="00842455" w:rsidRDefault="00842455" w:rsidP="00842455">
      <w:pPr>
        <w:jc w:val="both"/>
        <w:rPr>
          <w:rFonts w:cstheme="minorHAnsi"/>
          <w:b/>
          <w:bCs/>
        </w:rPr>
      </w:pPr>
      <w:r>
        <w:rPr>
          <w:rFonts w:cstheme="minorHAnsi"/>
        </w:rPr>
        <w:br/>
      </w:r>
      <w:r>
        <w:rPr>
          <w:rFonts w:cstheme="minorHAnsi"/>
          <w:b/>
          <w:bCs/>
        </w:rPr>
        <w:t>AS-i TREV-2 Grupp aktsionäride üldkoosolek otsustas:</w:t>
      </w:r>
    </w:p>
    <w:p w14:paraId="2476EFC0" w14:textId="2A530CAE" w:rsidR="00842455" w:rsidRDefault="00842455" w:rsidP="00A868FC">
      <w:pPr>
        <w:pStyle w:val="ListParagraph"/>
        <w:numPr>
          <w:ilvl w:val="0"/>
          <w:numId w:val="10"/>
        </w:numPr>
        <w:ind w:left="567" w:hanging="567"/>
        <w:jc w:val="both"/>
        <w:rPr>
          <w:rFonts w:cstheme="minorHAnsi"/>
          <w:u w:val="single"/>
        </w:rPr>
      </w:pPr>
      <w:r>
        <w:rPr>
          <w:rFonts w:cstheme="minorHAnsi"/>
          <w:u w:val="single"/>
        </w:rPr>
        <w:t>202</w:t>
      </w:r>
      <w:r w:rsidR="00331224">
        <w:rPr>
          <w:rFonts w:cstheme="minorHAnsi"/>
          <w:u w:val="single"/>
        </w:rPr>
        <w:t>3</w:t>
      </w:r>
      <w:r>
        <w:rPr>
          <w:rFonts w:cstheme="minorHAnsi"/>
          <w:u w:val="single"/>
        </w:rPr>
        <w:t>. a majandusaasta aruande kinnitamine ja kasumi jaotamine</w:t>
      </w:r>
    </w:p>
    <w:p w14:paraId="01D8663B" w14:textId="13044B5B" w:rsidR="00842455" w:rsidRDefault="00842455" w:rsidP="00A868FC">
      <w:pPr>
        <w:pStyle w:val="ListParagraph"/>
        <w:numPr>
          <w:ilvl w:val="1"/>
          <w:numId w:val="10"/>
        </w:numPr>
        <w:ind w:left="567" w:hanging="567"/>
        <w:jc w:val="both"/>
        <w:rPr>
          <w:rFonts w:cstheme="minorHAnsi"/>
        </w:rPr>
      </w:pPr>
      <w:r>
        <w:rPr>
          <w:rFonts w:cstheme="minorHAnsi"/>
        </w:rPr>
        <w:t>Kinnitada 3</w:t>
      </w:r>
      <w:r w:rsidR="00243EFB">
        <w:rPr>
          <w:rFonts w:cstheme="minorHAnsi"/>
        </w:rPr>
        <w:t>0</w:t>
      </w:r>
      <w:r w:rsidR="005B243F">
        <w:rPr>
          <w:rFonts w:cstheme="minorHAnsi"/>
        </w:rPr>
        <w:t> 331 855</w:t>
      </w:r>
      <w:r>
        <w:rPr>
          <w:rFonts w:cstheme="minorHAnsi"/>
        </w:rPr>
        <w:t xml:space="preserve"> hääle ehk 8</w:t>
      </w:r>
      <w:r w:rsidR="005B243F">
        <w:rPr>
          <w:rFonts w:cstheme="minorHAnsi"/>
        </w:rPr>
        <w:t>2</w:t>
      </w:r>
      <w:r>
        <w:rPr>
          <w:rFonts w:cstheme="minorHAnsi"/>
        </w:rPr>
        <w:t>,</w:t>
      </w:r>
      <w:r w:rsidR="005B243F">
        <w:rPr>
          <w:rFonts w:cstheme="minorHAnsi"/>
        </w:rPr>
        <w:t>116</w:t>
      </w:r>
      <w:r>
        <w:rPr>
          <w:rFonts w:cstheme="minorHAnsi"/>
        </w:rPr>
        <w:t>% poolthäälega Aktsiaseltsi 202</w:t>
      </w:r>
      <w:r w:rsidR="005B243F">
        <w:rPr>
          <w:rFonts w:cstheme="minorHAnsi"/>
        </w:rPr>
        <w:t>3</w:t>
      </w:r>
      <w:r>
        <w:rPr>
          <w:rFonts w:cstheme="minorHAnsi"/>
        </w:rPr>
        <w:t xml:space="preserve">. a majandusaasta aruanne juhatuse poolt esitatud kujul. </w:t>
      </w:r>
    </w:p>
    <w:p w14:paraId="65D691DD" w14:textId="26CB9589" w:rsidR="00842455" w:rsidRDefault="00842455" w:rsidP="00A868FC">
      <w:pPr>
        <w:pStyle w:val="ListParagraph"/>
        <w:numPr>
          <w:ilvl w:val="1"/>
          <w:numId w:val="10"/>
        </w:numPr>
        <w:ind w:left="567" w:hanging="567"/>
        <w:jc w:val="both"/>
        <w:rPr>
          <w:rFonts w:cstheme="minorHAnsi"/>
        </w:rPr>
      </w:pPr>
      <w:r>
        <w:rPr>
          <w:rFonts w:cstheme="minorHAnsi"/>
        </w:rPr>
        <w:t>Kinnitada 30 331 855 hääle ehk 82,116</w:t>
      </w:r>
      <w:r w:rsidR="0081796B">
        <w:rPr>
          <w:rFonts w:cstheme="minorHAnsi"/>
        </w:rPr>
        <w:t>%</w:t>
      </w:r>
      <w:r>
        <w:rPr>
          <w:rFonts w:cstheme="minorHAnsi"/>
        </w:rPr>
        <w:t xml:space="preserve"> poolthäälega järgnev: 202</w:t>
      </w:r>
      <w:r w:rsidR="0081796B">
        <w:rPr>
          <w:rFonts w:cstheme="minorHAnsi"/>
        </w:rPr>
        <w:t>3</w:t>
      </w:r>
      <w:r>
        <w:rPr>
          <w:rFonts w:cstheme="minorHAnsi"/>
        </w:rPr>
        <w:t xml:space="preserve">. a majandusaasta puhaskahjum on </w:t>
      </w:r>
      <w:r w:rsidR="0081796B">
        <w:rPr>
          <w:rFonts w:cstheme="minorHAnsi"/>
        </w:rPr>
        <w:t>2 960 297</w:t>
      </w:r>
      <w:r>
        <w:rPr>
          <w:rFonts w:cstheme="minorHAnsi"/>
        </w:rPr>
        <w:t xml:space="preserve"> eurot, mis kaetakse eelmiste perioodide jaotamata kasumi arvelt. Jätta eelmiste perioodide jaotamata kasum ülejäänud osas jaotamata ning mitte maksta aktsionäridele dividende. Eraldisi reservkapitali ega teistesse seaduse ettenähtud reservidesse mitte teha. Aktsiaseltsi jaotamata kasumi jäägiks on </w:t>
      </w:r>
      <w:r w:rsidR="003B684F">
        <w:rPr>
          <w:rFonts w:cstheme="minorHAnsi"/>
        </w:rPr>
        <w:t>11 380 896</w:t>
      </w:r>
      <w:r>
        <w:rPr>
          <w:rFonts w:cstheme="minorHAnsi"/>
        </w:rPr>
        <w:t xml:space="preserve"> eurot.</w:t>
      </w:r>
    </w:p>
    <w:p w14:paraId="73A6C079" w14:textId="77777777" w:rsidR="00842455" w:rsidRDefault="00842455" w:rsidP="00A868FC">
      <w:pPr>
        <w:pStyle w:val="ListParagraph"/>
        <w:ind w:left="567" w:hanging="567"/>
        <w:jc w:val="both"/>
        <w:rPr>
          <w:rFonts w:cstheme="minorHAnsi"/>
        </w:rPr>
      </w:pPr>
    </w:p>
    <w:p w14:paraId="5F32D618" w14:textId="02145882" w:rsidR="00842455" w:rsidRDefault="00842455" w:rsidP="00A868FC">
      <w:pPr>
        <w:pStyle w:val="ListParagraph"/>
        <w:numPr>
          <w:ilvl w:val="0"/>
          <w:numId w:val="10"/>
        </w:numPr>
        <w:ind w:left="567" w:hanging="567"/>
        <w:jc w:val="both"/>
        <w:rPr>
          <w:rFonts w:cstheme="minorHAnsi"/>
          <w:u w:val="single"/>
        </w:rPr>
      </w:pPr>
      <w:r>
        <w:rPr>
          <w:rFonts w:cstheme="minorHAnsi"/>
          <w:u w:val="single"/>
        </w:rPr>
        <w:t>Nõukogu liikme</w:t>
      </w:r>
      <w:r w:rsidR="003B684F">
        <w:rPr>
          <w:rFonts w:cstheme="minorHAnsi"/>
          <w:u w:val="single"/>
        </w:rPr>
        <w:t xml:space="preserve"> ametiaja pikendamine</w:t>
      </w:r>
    </w:p>
    <w:p w14:paraId="43B52175" w14:textId="6B347A70" w:rsidR="00842455" w:rsidRPr="00891625" w:rsidRDefault="00891625" w:rsidP="00A868FC">
      <w:pPr>
        <w:pStyle w:val="ListParagraph"/>
        <w:numPr>
          <w:ilvl w:val="1"/>
          <w:numId w:val="10"/>
        </w:numPr>
        <w:ind w:left="567" w:hanging="567"/>
        <w:jc w:val="both"/>
        <w:rPr>
          <w:rFonts w:cstheme="minorHAnsi"/>
        </w:rPr>
      </w:pPr>
      <w:r>
        <w:rPr>
          <w:rFonts w:cstheme="minorHAnsi"/>
        </w:rPr>
        <w:t xml:space="preserve">Pikendada </w:t>
      </w:r>
      <w:r w:rsidR="00842455" w:rsidRPr="00891625">
        <w:rPr>
          <w:rFonts w:cstheme="minorHAnsi"/>
        </w:rPr>
        <w:t xml:space="preserve">32 116 801 hääle ehk 86,949% poolthäälega </w:t>
      </w:r>
      <w:r w:rsidR="00373B8B">
        <w:rPr>
          <w:rFonts w:cstheme="minorHAnsi"/>
        </w:rPr>
        <w:t>Toomas Pran</w:t>
      </w:r>
      <w:r w:rsidR="00A868FC">
        <w:rPr>
          <w:rFonts w:cstheme="minorHAnsi"/>
        </w:rPr>
        <w:t>g</w:t>
      </w:r>
      <w:r w:rsidR="00373B8B">
        <w:rPr>
          <w:rFonts w:cstheme="minorHAnsi"/>
        </w:rPr>
        <w:t>li ametiaega alates 26.06.2024 järgmiseks viieks aastaks</w:t>
      </w:r>
      <w:r w:rsidR="00842455" w:rsidRPr="00891625">
        <w:rPr>
          <w:rFonts w:cstheme="minorHAnsi"/>
        </w:rPr>
        <w:t xml:space="preserve">. </w:t>
      </w:r>
    </w:p>
    <w:p w14:paraId="338DABC1" w14:textId="77777777" w:rsidR="00AD1325" w:rsidRDefault="00AD1325" w:rsidP="00842455">
      <w:pPr>
        <w:jc w:val="both"/>
        <w:rPr>
          <w:rFonts w:cstheme="minorHAnsi"/>
        </w:rPr>
      </w:pPr>
    </w:p>
    <w:p w14:paraId="16D16C9C" w14:textId="23E56CDA" w:rsidR="00842455" w:rsidRDefault="00842455" w:rsidP="00842455">
      <w:pPr>
        <w:jc w:val="both"/>
        <w:rPr>
          <w:rFonts w:cstheme="minorHAnsi"/>
        </w:rPr>
      </w:pPr>
      <w:r>
        <w:rPr>
          <w:rFonts w:cstheme="minorHAnsi"/>
        </w:rPr>
        <w:t>AS TREV-2 Grupp juhatus</w:t>
      </w:r>
    </w:p>
    <w:p w14:paraId="49E26037" w14:textId="2E1BFE0C" w:rsidR="00EE2826" w:rsidRPr="00D20EC3" w:rsidRDefault="00EE2826" w:rsidP="00D20EC3"/>
    <w:sectPr w:rsidR="00EE2826" w:rsidRPr="00D20EC3" w:rsidSect="005C77DF">
      <w:headerReference w:type="even" r:id="rId13"/>
      <w:headerReference w:type="default" r:id="rId14"/>
      <w:footerReference w:type="even" r:id="rId15"/>
      <w:footerReference w:type="default" r:id="rId16"/>
      <w:headerReference w:type="first" r:id="rId17"/>
      <w:footerReference w:type="first" r:id="rId18"/>
      <w:pgSz w:w="11906" w:h="16838"/>
      <w:pgMar w:top="1843"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EAC3" w14:textId="77777777" w:rsidR="008A6814" w:rsidRDefault="008A6814" w:rsidP="005B3637">
      <w:pPr>
        <w:spacing w:after="0" w:line="240" w:lineRule="auto"/>
      </w:pPr>
      <w:r>
        <w:separator/>
      </w:r>
    </w:p>
  </w:endnote>
  <w:endnote w:type="continuationSeparator" w:id="0">
    <w:p w14:paraId="6C0BC563" w14:textId="77777777" w:rsidR="008A6814" w:rsidRDefault="008A6814" w:rsidP="005B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213E" w14:textId="77777777" w:rsidR="00E3585B" w:rsidRDefault="00E35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E0B7" w14:textId="77777777" w:rsidR="00E3585B" w:rsidRDefault="00E35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0066" w14:textId="77777777" w:rsidR="00E3585B" w:rsidRDefault="00E35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2DCD" w14:textId="77777777" w:rsidR="008A6814" w:rsidRDefault="008A6814" w:rsidP="005B3637">
      <w:pPr>
        <w:spacing w:after="0" w:line="240" w:lineRule="auto"/>
      </w:pPr>
      <w:r>
        <w:separator/>
      </w:r>
    </w:p>
  </w:footnote>
  <w:footnote w:type="continuationSeparator" w:id="0">
    <w:p w14:paraId="7809456A" w14:textId="77777777" w:rsidR="008A6814" w:rsidRDefault="008A6814" w:rsidP="005B3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77EB" w14:textId="77777777" w:rsidR="00E3585B" w:rsidRDefault="00E35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873F" w14:textId="77777777" w:rsidR="005B3637" w:rsidRDefault="00E65750">
    <w:pPr>
      <w:pStyle w:val="Header"/>
    </w:pPr>
    <w:r>
      <w:rPr>
        <w:noProof/>
        <w:lang w:eastAsia="et-EE"/>
      </w:rPr>
      <w:drawing>
        <wp:anchor distT="0" distB="0" distL="114300" distR="114300" simplePos="0" relativeHeight="251658240" behindDoc="0" locked="0" layoutInCell="1" allowOverlap="1" wp14:anchorId="01F4AC5C" wp14:editId="2284E99D">
          <wp:simplePos x="0" y="0"/>
          <wp:positionH relativeFrom="column">
            <wp:posOffset>2880995</wp:posOffset>
          </wp:positionH>
          <wp:positionV relativeFrom="paragraph">
            <wp:posOffset>-449580</wp:posOffset>
          </wp:positionV>
          <wp:extent cx="3596005" cy="78803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v2_blankett_logo_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6005" cy="7880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990D" w14:textId="77777777" w:rsidR="00E3585B" w:rsidRDefault="00E35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6E40"/>
    <w:multiLevelType w:val="hybridMultilevel"/>
    <w:tmpl w:val="1794D8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9CB2671"/>
    <w:multiLevelType w:val="hybridMultilevel"/>
    <w:tmpl w:val="97BA6944"/>
    <w:lvl w:ilvl="0" w:tplc="4C3ADED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CCF4C16"/>
    <w:multiLevelType w:val="hybridMultilevel"/>
    <w:tmpl w:val="111E16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340313A"/>
    <w:multiLevelType w:val="multilevel"/>
    <w:tmpl w:val="385C6AC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9E806FD"/>
    <w:multiLevelType w:val="hybridMultilevel"/>
    <w:tmpl w:val="77B243A2"/>
    <w:lvl w:ilvl="0" w:tplc="FA22AEBA">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413C9A"/>
    <w:multiLevelType w:val="hybridMultilevel"/>
    <w:tmpl w:val="2CFAE4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5DF07E8"/>
    <w:multiLevelType w:val="hybridMultilevel"/>
    <w:tmpl w:val="C0AE62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A44755D"/>
    <w:multiLevelType w:val="hybridMultilevel"/>
    <w:tmpl w:val="7DCA3864"/>
    <w:lvl w:ilvl="0" w:tplc="32AA06F0">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37A6007"/>
    <w:multiLevelType w:val="multilevel"/>
    <w:tmpl w:val="E1807E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CDB2D30"/>
    <w:multiLevelType w:val="hybridMultilevel"/>
    <w:tmpl w:val="A61E362E"/>
    <w:lvl w:ilvl="0" w:tplc="119A8044">
      <w:start w:val="1"/>
      <w:numFmt w:val="decimal"/>
      <w:lvlText w:val="%1."/>
      <w:lvlJc w:val="left"/>
      <w:pPr>
        <w:ind w:left="720" w:hanging="360"/>
      </w:pPr>
      <w:rPr>
        <w:rFonts w:hint="default"/>
        <w:b w:val="0"/>
        <w:bCs w:val="0"/>
        <w:i w:val="0"/>
        <w:i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19786197">
    <w:abstractNumId w:val="8"/>
  </w:num>
  <w:num w:numId="2" w16cid:durableId="349643648">
    <w:abstractNumId w:val="1"/>
  </w:num>
  <w:num w:numId="3" w16cid:durableId="2090272067">
    <w:abstractNumId w:val="6"/>
  </w:num>
  <w:num w:numId="4" w16cid:durableId="82384526">
    <w:abstractNumId w:val="5"/>
  </w:num>
  <w:num w:numId="5" w16cid:durableId="107744211">
    <w:abstractNumId w:val="0"/>
  </w:num>
  <w:num w:numId="6" w16cid:durableId="1290936302">
    <w:abstractNumId w:val="9"/>
  </w:num>
  <w:num w:numId="7" w16cid:durableId="2121484867">
    <w:abstractNumId w:val="7"/>
  </w:num>
  <w:num w:numId="8" w16cid:durableId="968825944">
    <w:abstractNumId w:val="2"/>
  </w:num>
  <w:num w:numId="9" w16cid:durableId="355664055">
    <w:abstractNumId w:val="4"/>
  </w:num>
  <w:num w:numId="10" w16cid:durableId="16973415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03A"/>
    <w:rsid w:val="00034012"/>
    <w:rsid w:val="00046E86"/>
    <w:rsid w:val="000F2BB1"/>
    <w:rsid w:val="00145503"/>
    <w:rsid w:val="0018250D"/>
    <w:rsid w:val="001A3F1A"/>
    <w:rsid w:val="001D4FC0"/>
    <w:rsid w:val="001E0B68"/>
    <w:rsid w:val="00243EFB"/>
    <w:rsid w:val="00257D52"/>
    <w:rsid w:val="00297EC9"/>
    <w:rsid w:val="002B303A"/>
    <w:rsid w:val="003016C6"/>
    <w:rsid w:val="00331224"/>
    <w:rsid w:val="003513D3"/>
    <w:rsid w:val="003554ED"/>
    <w:rsid w:val="0036673B"/>
    <w:rsid w:val="00373B8B"/>
    <w:rsid w:val="003830D0"/>
    <w:rsid w:val="003B684F"/>
    <w:rsid w:val="003F2A3D"/>
    <w:rsid w:val="004216F5"/>
    <w:rsid w:val="00422AA6"/>
    <w:rsid w:val="00443FA8"/>
    <w:rsid w:val="004A5610"/>
    <w:rsid w:val="004B1C43"/>
    <w:rsid w:val="004B39D8"/>
    <w:rsid w:val="00512CD8"/>
    <w:rsid w:val="005A216D"/>
    <w:rsid w:val="005B243F"/>
    <w:rsid w:val="005B3637"/>
    <w:rsid w:val="005B626E"/>
    <w:rsid w:val="005C77DF"/>
    <w:rsid w:val="005E6202"/>
    <w:rsid w:val="005E7E5B"/>
    <w:rsid w:val="005F61F9"/>
    <w:rsid w:val="005F7EF1"/>
    <w:rsid w:val="005F7FD0"/>
    <w:rsid w:val="00661EC8"/>
    <w:rsid w:val="0067352A"/>
    <w:rsid w:val="006A48F0"/>
    <w:rsid w:val="006B0563"/>
    <w:rsid w:val="006C3959"/>
    <w:rsid w:val="006F2B50"/>
    <w:rsid w:val="00707B70"/>
    <w:rsid w:val="007543AF"/>
    <w:rsid w:val="007B2215"/>
    <w:rsid w:val="007B4D26"/>
    <w:rsid w:val="007B6561"/>
    <w:rsid w:val="007C20E3"/>
    <w:rsid w:val="007C3417"/>
    <w:rsid w:val="007D2B21"/>
    <w:rsid w:val="0081796B"/>
    <w:rsid w:val="0083041B"/>
    <w:rsid w:val="00842455"/>
    <w:rsid w:val="008547E7"/>
    <w:rsid w:val="0088285E"/>
    <w:rsid w:val="00891625"/>
    <w:rsid w:val="008A6814"/>
    <w:rsid w:val="008B0B5C"/>
    <w:rsid w:val="008C5AB2"/>
    <w:rsid w:val="0092673A"/>
    <w:rsid w:val="00944965"/>
    <w:rsid w:val="00954C1A"/>
    <w:rsid w:val="00977C0C"/>
    <w:rsid w:val="009830D1"/>
    <w:rsid w:val="009C3A66"/>
    <w:rsid w:val="009C53CF"/>
    <w:rsid w:val="00A07185"/>
    <w:rsid w:val="00A10724"/>
    <w:rsid w:val="00A57432"/>
    <w:rsid w:val="00A868FC"/>
    <w:rsid w:val="00AA0A87"/>
    <w:rsid w:val="00AA4B49"/>
    <w:rsid w:val="00AD1325"/>
    <w:rsid w:val="00AF57D7"/>
    <w:rsid w:val="00B0015B"/>
    <w:rsid w:val="00B122E8"/>
    <w:rsid w:val="00B21262"/>
    <w:rsid w:val="00B25B75"/>
    <w:rsid w:val="00B937FD"/>
    <w:rsid w:val="00BA6A6B"/>
    <w:rsid w:val="00BD7775"/>
    <w:rsid w:val="00C707A2"/>
    <w:rsid w:val="00C95F54"/>
    <w:rsid w:val="00D0745D"/>
    <w:rsid w:val="00D20EC3"/>
    <w:rsid w:val="00D27949"/>
    <w:rsid w:val="00D330EB"/>
    <w:rsid w:val="00D338BC"/>
    <w:rsid w:val="00D4492B"/>
    <w:rsid w:val="00D6029B"/>
    <w:rsid w:val="00D7519D"/>
    <w:rsid w:val="00D80430"/>
    <w:rsid w:val="00D92C81"/>
    <w:rsid w:val="00D930A3"/>
    <w:rsid w:val="00DE3E73"/>
    <w:rsid w:val="00E3585B"/>
    <w:rsid w:val="00E65750"/>
    <w:rsid w:val="00E9737F"/>
    <w:rsid w:val="00EA385C"/>
    <w:rsid w:val="00ED78F5"/>
    <w:rsid w:val="00EE0764"/>
    <w:rsid w:val="00EE2826"/>
    <w:rsid w:val="00EE5EC7"/>
    <w:rsid w:val="00F17D63"/>
    <w:rsid w:val="00F20C91"/>
    <w:rsid w:val="00F248FB"/>
    <w:rsid w:val="00F45254"/>
    <w:rsid w:val="00F903BF"/>
    <w:rsid w:val="00F94FD5"/>
    <w:rsid w:val="00FA6DD8"/>
    <w:rsid w:val="00FB0D99"/>
    <w:rsid w:val="00FB5863"/>
    <w:rsid w:val="00FB5A29"/>
    <w:rsid w:val="00FE72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7CC4"/>
  <w15:docId w15:val="{B12ABE9A-8DDE-47D3-A235-B014E773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6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3637"/>
  </w:style>
  <w:style w:type="paragraph" w:styleId="Footer">
    <w:name w:val="footer"/>
    <w:basedOn w:val="Normal"/>
    <w:link w:val="FooterChar"/>
    <w:uiPriority w:val="99"/>
    <w:unhideWhenUsed/>
    <w:rsid w:val="005B36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3637"/>
  </w:style>
  <w:style w:type="paragraph" w:styleId="BalloonText">
    <w:name w:val="Balloon Text"/>
    <w:basedOn w:val="Normal"/>
    <w:link w:val="BalloonTextChar"/>
    <w:uiPriority w:val="99"/>
    <w:semiHidden/>
    <w:unhideWhenUsed/>
    <w:rsid w:val="005B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37"/>
    <w:rPr>
      <w:rFonts w:ascii="Tahoma" w:hAnsi="Tahoma" w:cs="Tahoma"/>
      <w:sz w:val="16"/>
      <w:szCs w:val="16"/>
    </w:rPr>
  </w:style>
  <w:style w:type="character" w:styleId="Hyperlink">
    <w:name w:val="Hyperlink"/>
    <w:basedOn w:val="DefaultParagraphFont"/>
    <w:uiPriority w:val="99"/>
    <w:unhideWhenUsed/>
    <w:rsid w:val="00D6029B"/>
    <w:rPr>
      <w:color w:val="0000FF" w:themeColor="hyperlink"/>
      <w:u w:val="single"/>
    </w:rPr>
  </w:style>
  <w:style w:type="character" w:styleId="UnresolvedMention">
    <w:name w:val="Unresolved Mention"/>
    <w:basedOn w:val="DefaultParagraphFont"/>
    <w:uiPriority w:val="99"/>
    <w:semiHidden/>
    <w:unhideWhenUsed/>
    <w:rsid w:val="00D6029B"/>
    <w:rPr>
      <w:color w:val="605E5C"/>
      <w:shd w:val="clear" w:color="auto" w:fill="E1DFDD"/>
    </w:rPr>
  </w:style>
  <w:style w:type="paragraph" w:styleId="NoSpacing">
    <w:name w:val="No Spacing"/>
    <w:uiPriority w:val="1"/>
    <w:qFormat/>
    <w:rsid w:val="005F7FD0"/>
    <w:pPr>
      <w:spacing w:after="0" w:line="240" w:lineRule="auto"/>
    </w:pPr>
  </w:style>
  <w:style w:type="paragraph" w:styleId="ListParagraph">
    <w:name w:val="List Paragraph"/>
    <w:basedOn w:val="Normal"/>
    <w:uiPriority w:val="34"/>
    <w:qFormat/>
    <w:rsid w:val="00EE0764"/>
    <w:pPr>
      <w:ind w:left="720"/>
      <w:contextualSpacing/>
    </w:pPr>
  </w:style>
  <w:style w:type="paragraph" w:customStyle="1" w:styleId="paragraph">
    <w:name w:val="paragraph"/>
    <w:basedOn w:val="Normal"/>
    <w:rsid w:val="007B221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7B2215"/>
  </w:style>
  <w:style w:type="character" w:customStyle="1" w:styleId="eop">
    <w:name w:val="eop"/>
    <w:basedOn w:val="DefaultParagraphFont"/>
    <w:rsid w:val="007B2215"/>
  </w:style>
  <w:style w:type="paragraph" w:styleId="FootnoteText">
    <w:name w:val="footnote text"/>
    <w:basedOn w:val="Normal"/>
    <w:link w:val="FootnoteTextChar"/>
    <w:uiPriority w:val="99"/>
    <w:semiHidden/>
    <w:unhideWhenUsed/>
    <w:rsid w:val="006A4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8F0"/>
    <w:rPr>
      <w:sz w:val="20"/>
      <w:szCs w:val="20"/>
    </w:rPr>
  </w:style>
  <w:style w:type="character" w:styleId="FootnoteReference">
    <w:name w:val="footnote reference"/>
    <w:basedOn w:val="DefaultParagraphFont"/>
    <w:uiPriority w:val="99"/>
    <w:semiHidden/>
    <w:unhideWhenUsed/>
    <w:rsid w:val="006A48F0"/>
    <w:rPr>
      <w:vertAlign w:val="superscript"/>
    </w:rPr>
  </w:style>
  <w:style w:type="table" w:styleId="TableGrid">
    <w:name w:val="Table Grid"/>
    <w:basedOn w:val="TableNormal"/>
    <w:uiPriority w:val="39"/>
    <w:rsid w:val="00EA38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20845">
      <w:bodyDiv w:val="1"/>
      <w:marLeft w:val="0"/>
      <w:marRight w:val="0"/>
      <w:marTop w:val="0"/>
      <w:marBottom w:val="0"/>
      <w:divBdr>
        <w:top w:val="none" w:sz="0" w:space="0" w:color="auto"/>
        <w:left w:val="none" w:sz="0" w:space="0" w:color="auto"/>
        <w:bottom w:val="none" w:sz="0" w:space="0" w:color="auto"/>
        <w:right w:val="none" w:sz="0" w:space="0" w:color="auto"/>
      </w:divBdr>
    </w:div>
    <w:div w:id="1780373217">
      <w:bodyDiv w:val="1"/>
      <w:marLeft w:val="0"/>
      <w:marRight w:val="0"/>
      <w:marTop w:val="0"/>
      <w:marBottom w:val="0"/>
      <w:divBdr>
        <w:top w:val="none" w:sz="0" w:space="0" w:color="auto"/>
        <w:left w:val="none" w:sz="0" w:space="0" w:color="auto"/>
        <w:bottom w:val="none" w:sz="0" w:space="0" w:color="auto"/>
        <w:right w:val="none" w:sz="0" w:space="0" w:color="auto"/>
      </w:divBdr>
      <w:divsChild>
        <w:div w:id="280035872">
          <w:marLeft w:val="-165"/>
          <w:marRight w:val="-165"/>
          <w:marTop w:val="0"/>
          <w:marBottom w:val="0"/>
          <w:divBdr>
            <w:top w:val="none" w:sz="0" w:space="0" w:color="auto"/>
            <w:left w:val="none" w:sz="0" w:space="0" w:color="auto"/>
            <w:bottom w:val="none" w:sz="0" w:space="0" w:color="auto"/>
            <w:right w:val="none" w:sz="0" w:space="0" w:color="auto"/>
          </w:divBdr>
          <w:divsChild>
            <w:div w:id="14800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ev2.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B225C4B068E4BBE941D0CBF69AE8C" ma:contentTypeVersion="18" ma:contentTypeDescription="Create a new document." ma:contentTypeScope="" ma:versionID="ef9c9ab17dd248a6f0a36246edae2b35">
  <xsd:schema xmlns:xsd="http://www.w3.org/2001/XMLSchema" xmlns:xs="http://www.w3.org/2001/XMLSchema" xmlns:p="http://schemas.microsoft.com/office/2006/metadata/properties" xmlns:ns2="041badf8-1638-4e08-96fe-70ad1bb18628" xmlns:ns3="ca3f2a98-34a7-41f4-a34b-0e39172c1dca" targetNamespace="http://schemas.microsoft.com/office/2006/metadata/properties" ma:root="true" ma:fieldsID="8225551c7db98e7caaef7fcedda7ec9b" ns2:_="" ns3:_="">
    <xsd:import namespace="041badf8-1638-4e08-96fe-70ad1bb18628"/>
    <xsd:import namespace="ca3f2a98-34a7-41f4-a34b-0e39172c1dc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badf8-1638-4e08-96fe-70ad1bb1862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0b4c18c-823f-4282-b557-4dc0de9ff921}" ma:internalName="TaxCatchAll" ma:showField="CatchAllData" ma:web="041badf8-1638-4e08-96fe-70ad1bb186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3f2a98-34a7-41f4-a34b-0e39172c1d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35b3bba-2198-47c6-9ccb-53d97700fa8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41badf8-1638-4e08-96fe-70ad1bb18628">EWSCDR65VEVV-784798364-2090033</_dlc_DocId>
    <_dlc_DocIdUrl xmlns="041badf8-1638-4e08-96fe-70ad1bb18628">
      <Url>https://vincic.sharepoint.com/sites/Dokumendihoidla/_layouts/15/DocIdRedir.aspx?ID=EWSCDR65VEVV-784798364-2090033</Url>
      <Description>EWSCDR65VEVV-784798364-2090033</Description>
    </_dlc_DocIdUrl>
    <SharedWithUsers xmlns="041badf8-1638-4e08-96fe-70ad1bb18628">
      <UserInfo>
        <DisplayName>O365-EE_SP_Admin</DisplayName>
        <AccountId>46</AccountId>
        <AccountType/>
      </UserInfo>
      <UserInfo>
        <DisplayName>O365-EE_SP_Intranet_Külastajad</DisplayName>
        <AccountId>224</AccountId>
        <AccountType/>
      </UserInfo>
      <UserInfo>
        <DisplayName>O365-EE_Sait_DH_Admin</DisplayName>
        <AccountId>227</AccountId>
        <AccountType/>
      </UserInfo>
    </SharedWithUsers>
    <TaxCatchAll xmlns="041badf8-1638-4e08-96fe-70ad1bb18628" xsi:nil="true"/>
    <lcf76f155ced4ddcb4097134ff3c332f xmlns="ca3f2a98-34a7-41f4-a34b-0e39172c1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7B5C4D-A31D-493C-963F-5ABF19B93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badf8-1638-4e08-96fe-70ad1bb18628"/>
    <ds:schemaRef ds:uri="ca3f2a98-34a7-41f4-a34b-0e39172c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05049-D921-479F-B43E-3E6D35A8450C}">
  <ds:schemaRefs>
    <ds:schemaRef ds:uri="http://schemas.microsoft.com/sharepoint/events"/>
  </ds:schemaRefs>
</ds:datastoreItem>
</file>

<file path=customXml/itemProps3.xml><?xml version="1.0" encoding="utf-8"?>
<ds:datastoreItem xmlns:ds="http://schemas.openxmlformats.org/officeDocument/2006/customXml" ds:itemID="{5D69D219-2843-4450-8A58-BDD5241AA872}">
  <ds:schemaRefs>
    <ds:schemaRef ds:uri="http://schemas.microsoft.com/sharepoint/v3/contenttype/forms"/>
  </ds:schemaRefs>
</ds:datastoreItem>
</file>

<file path=customXml/itemProps4.xml><?xml version="1.0" encoding="utf-8"?>
<ds:datastoreItem xmlns:ds="http://schemas.openxmlformats.org/officeDocument/2006/customXml" ds:itemID="{07EF5907-6E1E-48E7-BD64-DA638B3182D5}">
  <ds:schemaRefs>
    <ds:schemaRef ds:uri="http://schemas.openxmlformats.org/officeDocument/2006/bibliography"/>
  </ds:schemaRefs>
</ds:datastoreItem>
</file>

<file path=customXml/itemProps5.xml><?xml version="1.0" encoding="utf-8"?>
<ds:datastoreItem xmlns:ds="http://schemas.openxmlformats.org/officeDocument/2006/customXml" ds:itemID="{3294F1D4-C556-4C17-B745-20C8BAB8E6C1}">
  <ds:schemaRefs>
    <ds:schemaRef ds:uri="http://schemas.microsoft.com/office/2006/metadata/properties"/>
    <ds:schemaRef ds:uri="http://schemas.microsoft.com/office/infopath/2007/PartnerControls"/>
    <ds:schemaRef ds:uri="041badf8-1638-4e08-96fe-70ad1bb18628"/>
    <ds:schemaRef ds:uri="ca3f2a98-34a7-41f4-a34b-0e39172c1dc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286</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dc:creator>
  <cp:lastModifiedBy>KIRSISTE Kristi</cp:lastModifiedBy>
  <cp:revision>14</cp:revision>
  <dcterms:created xsi:type="dcterms:W3CDTF">2024-07-01T08:26:00Z</dcterms:created>
  <dcterms:modified xsi:type="dcterms:W3CDTF">2024-07-01T08:43:00Z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0x01010087FB225C4B068E4BBE941D0CBF69AE8C</vt:lpwstr>
  </property>
  <property fmtid="{D5CDD505-2E9C-101B-9397-08002B2CF9AE}" pid="3" name="_dlc_DocIdItemGuid">
    <vt:lpwstr>1e5597a9-bff3-4658-a892-95ba3075390c</vt:lpwstr>
  </property>
  <property fmtid="{D5CDD505-2E9C-101B-9397-08002B2CF9AE}" pid="4" name="Order">
    <vt:r8>92600</vt:r8>
  </property>
  <property fmtid="{D5CDD505-2E9C-101B-9397-08002B2CF9AE}" pid="5" name="_ExtendedDescription">
    <vt:lpwstr/>
  </property>
  <property fmtid="{D5CDD505-2E9C-101B-9397-08002B2CF9AE}" pid="6" name="MediaServiceImageTags">
    <vt:lpwstr/>
  </property>
</Properties>
</file>